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0EB46" w14:textId="77777777" w:rsidR="004B787D" w:rsidRPr="0071592D" w:rsidRDefault="004B787D" w:rsidP="00FD02AC">
      <w:pPr>
        <w:pBdr>
          <w:top w:val="none" w:sz="0" w:space="4" w:color="auto"/>
        </w:pBdr>
        <w:spacing w:after="0" w:line="240" w:lineRule="auto"/>
        <w:jc w:val="both"/>
        <w:rPr>
          <w:rFonts w:ascii="Verdana" w:hAnsi="Verdana"/>
          <w:color w:val="000000" w:themeColor="text1"/>
        </w:rPr>
      </w:pPr>
      <w:bookmarkStart w:id="0" w:name="I1ddf5910d94b11e6ae36ba8bbc8f4702_Targe"/>
      <w:bookmarkStart w:id="1" w:name="co_document_1"/>
      <w:bookmarkStart w:id="2" w:name="_Hlk121573715"/>
      <w:bookmarkEnd w:id="0"/>
    </w:p>
    <w:bookmarkEnd w:id="1"/>
    <w:p w14:paraId="60019952" w14:textId="788D828C" w:rsidR="00650801" w:rsidRDefault="00650801" w:rsidP="00FD02AC">
      <w:pPr>
        <w:spacing w:after="0" w:line="240" w:lineRule="auto"/>
        <w:ind w:left="101" w:right="101"/>
        <w:jc w:val="center"/>
        <w:rPr>
          <w:rFonts w:ascii="Verdana" w:hAnsi="Verdana"/>
          <w:color w:val="000000" w:themeColor="text1"/>
        </w:rPr>
      </w:pPr>
      <w:r w:rsidRPr="0071592D">
        <w:rPr>
          <w:rFonts w:ascii="Verdana" w:hAnsi="Verdana"/>
          <w:color w:val="000000" w:themeColor="text1"/>
        </w:rPr>
        <w:t xml:space="preserve">Barbara A. </w:t>
      </w:r>
      <w:r w:rsidR="0071592D" w:rsidRPr="0071592D">
        <w:rPr>
          <w:rFonts w:ascii="Verdana" w:hAnsi="Verdana"/>
          <w:color w:val="000000" w:themeColor="text1"/>
        </w:rPr>
        <w:t xml:space="preserve">Dittman </w:t>
      </w:r>
      <w:r w:rsidRPr="0071592D">
        <w:rPr>
          <w:rFonts w:ascii="Verdana" w:hAnsi="Verdana"/>
          <w:color w:val="000000" w:themeColor="text1"/>
        </w:rPr>
        <w:t>v.</w:t>
      </w:r>
      <w:r w:rsidR="0071592D" w:rsidRPr="0071592D">
        <w:rPr>
          <w:rFonts w:ascii="Verdana" w:hAnsi="Verdana"/>
          <w:color w:val="000000" w:themeColor="text1"/>
        </w:rPr>
        <w:t xml:space="preserve"> </w:t>
      </w:r>
      <w:r w:rsidRPr="0071592D">
        <w:rPr>
          <w:rFonts w:ascii="Verdana" w:hAnsi="Verdana"/>
          <w:color w:val="000000" w:themeColor="text1"/>
        </w:rPr>
        <w:t xml:space="preserve">UPMC </w:t>
      </w:r>
    </w:p>
    <w:p w14:paraId="67D625ED" w14:textId="77777777" w:rsidR="00DF2637" w:rsidRPr="0071592D" w:rsidRDefault="00DF2637" w:rsidP="00FD02AC">
      <w:pPr>
        <w:spacing w:after="0" w:line="240" w:lineRule="auto"/>
        <w:ind w:left="101" w:right="101"/>
        <w:jc w:val="center"/>
        <w:rPr>
          <w:rFonts w:ascii="Verdana" w:hAnsi="Verdana"/>
          <w:color w:val="000000" w:themeColor="text1"/>
        </w:rPr>
      </w:pPr>
    </w:p>
    <w:p w14:paraId="437EC900" w14:textId="3C894531" w:rsidR="004B787D" w:rsidRPr="0071592D" w:rsidRDefault="00000000" w:rsidP="00FD02AC">
      <w:pPr>
        <w:spacing w:after="0" w:line="240" w:lineRule="auto"/>
        <w:jc w:val="center"/>
        <w:rPr>
          <w:rFonts w:ascii="Verdana" w:hAnsi="Verdana"/>
          <w:color w:val="000000" w:themeColor="text1"/>
        </w:rPr>
      </w:pPr>
      <w:r w:rsidRPr="0071592D">
        <w:rPr>
          <w:rFonts w:ascii="Verdana" w:hAnsi="Verdana"/>
          <w:color w:val="000000" w:themeColor="text1"/>
        </w:rPr>
        <w:t>154 A.3d 318</w:t>
      </w:r>
      <w:r w:rsidR="00650801" w:rsidRPr="0071592D">
        <w:rPr>
          <w:rFonts w:ascii="Verdana" w:hAnsi="Verdana"/>
          <w:color w:val="000000" w:themeColor="text1"/>
        </w:rPr>
        <w:t xml:space="preserve"> (2017)</w:t>
      </w:r>
    </w:p>
    <w:p w14:paraId="71F1E667" w14:textId="77777777" w:rsidR="004B787D" w:rsidRPr="0071592D" w:rsidRDefault="00000000" w:rsidP="00FD02AC">
      <w:pPr>
        <w:spacing w:after="0" w:line="240" w:lineRule="auto"/>
        <w:jc w:val="center"/>
        <w:rPr>
          <w:rFonts w:ascii="Verdana" w:hAnsi="Verdana"/>
          <w:color w:val="000000" w:themeColor="text1"/>
        </w:rPr>
      </w:pPr>
      <w:r w:rsidRPr="0071592D">
        <w:rPr>
          <w:rFonts w:ascii="Verdana" w:hAnsi="Verdana"/>
          <w:color w:val="000000" w:themeColor="text1"/>
        </w:rPr>
        <w:t>Superior Court of Pennsylvania.</w:t>
      </w:r>
    </w:p>
    <w:p w14:paraId="2538CB4E" w14:textId="3E0B0308" w:rsidR="004B787D" w:rsidRDefault="00000000" w:rsidP="00FD02AC">
      <w:pPr>
        <w:keepNext/>
        <w:keepLines/>
        <w:spacing w:after="0" w:line="240" w:lineRule="auto"/>
        <w:jc w:val="both"/>
        <w:rPr>
          <w:rFonts w:ascii="Verdana" w:hAnsi="Verdana"/>
          <w:color w:val="000000" w:themeColor="text1"/>
        </w:rPr>
      </w:pPr>
      <w:bookmarkStart w:id="3" w:name="co_opinion_1"/>
      <w:r w:rsidRPr="0071592D">
        <w:rPr>
          <w:rFonts w:ascii="Verdana" w:hAnsi="Verdana"/>
          <w:color w:val="000000" w:themeColor="text1"/>
        </w:rPr>
        <w:t>Opinion</w:t>
      </w:r>
    </w:p>
    <w:p w14:paraId="47802D69" w14:textId="77777777" w:rsidR="00FD02AC" w:rsidRPr="0071592D" w:rsidRDefault="00FD02AC" w:rsidP="00FD02AC">
      <w:pPr>
        <w:keepNext/>
        <w:keepLines/>
        <w:spacing w:after="0" w:line="240" w:lineRule="auto"/>
        <w:jc w:val="both"/>
        <w:rPr>
          <w:rFonts w:ascii="Verdana" w:hAnsi="Verdana"/>
          <w:color w:val="000000" w:themeColor="text1"/>
        </w:rPr>
      </w:pPr>
    </w:p>
    <w:p w14:paraId="0EDC2D88" w14:textId="1038CDA6" w:rsidR="004B787D" w:rsidRPr="0071592D" w:rsidRDefault="00000000" w:rsidP="00FD02AC">
      <w:pPr>
        <w:spacing w:after="0" w:line="240" w:lineRule="auto"/>
        <w:jc w:val="both"/>
        <w:rPr>
          <w:rFonts w:ascii="Verdana" w:hAnsi="Verdana"/>
          <w:color w:val="000000" w:themeColor="text1"/>
        </w:rPr>
      </w:pPr>
      <w:bookmarkStart w:id="4" w:name="co_anchor_Ia65639f209db11eda9dfc301c2cc"/>
      <w:bookmarkEnd w:id="3"/>
      <w:r w:rsidRPr="0071592D">
        <w:rPr>
          <w:rFonts w:ascii="Verdana" w:hAnsi="Verdana"/>
          <w:color w:val="000000" w:themeColor="text1"/>
        </w:rPr>
        <w:t>OPINION BY OLSON, J.:</w:t>
      </w:r>
    </w:p>
    <w:p w14:paraId="6F9707C2" w14:textId="77777777" w:rsidR="00FD02AC" w:rsidRDefault="00FD02AC" w:rsidP="00FD02AC">
      <w:pPr>
        <w:spacing w:after="0" w:line="240" w:lineRule="auto"/>
        <w:jc w:val="both"/>
        <w:rPr>
          <w:rFonts w:ascii="Verdana" w:hAnsi="Verdana"/>
          <w:color w:val="000000" w:themeColor="text1"/>
        </w:rPr>
      </w:pPr>
      <w:bookmarkStart w:id="5" w:name="co_anchor_Ia66c811209db11eda9dfc301c2cc"/>
      <w:bookmarkEnd w:id="4"/>
    </w:p>
    <w:p w14:paraId="2FCB64BE" w14:textId="482FE843"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Appellants, Barbara Dittman, Gary Douglas, Alice Pastirik, Joann Decolati, Tina Sorrentino, Kristin Cushman, and Shannon Molyneaux, individually and on behalf of all others similarly situated, appeal from the May 28, 2015 order sustaining preliminary objections on behalf of UPMC</w:t>
      </w:r>
      <w:r w:rsidR="00CB70CA">
        <w:rPr>
          <w:rFonts w:ascii="Verdana" w:hAnsi="Verdana"/>
          <w:color w:val="000000" w:themeColor="text1"/>
        </w:rPr>
        <w:t xml:space="preserve"> [University of Pittsburgh Medical Center]</w:t>
      </w:r>
      <w:r w:rsidRPr="0071592D">
        <w:rPr>
          <w:rFonts w:ascii="Verdana" w:hAnsi="Verdana"/>
          <w:color w:val="000000" w:themeColor="text1"/>
        </w:rPr>
        <w:t>. After careful review, we affirm.</w:t>
      </w:r>
    </w:p>
    <w:bookmarkEnd w:id="5"/>
    <w:p w14:paraId="28E4988E"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64BD36A8" w14:textId="2D7EFB61"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We summarize the relevant factual background and procedural history as follows. Appellants brought an action for negligence and breach of contract against UPMC after a data breach, wherein the names, birth dates, social security numbers, tax information, addresses, salaries, and bank information of approximately 62,000 UPMC employees and former employees were accessed and stolen from UPMC's computer systems (“the data breach”). The stolen information was used to file fraudulent tax returns and steal the tax refunds of certain employees. The digitally-stored data consisted of personal information that UPMC required employees to provide as a condition of their employment.</w:t>
      </w:r>
    </w:p>
    <w:p w14:paraId="49E6B847"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33384F30"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The exact manner in which the data breach occurred is unknown. The manner in which UPMC announced the data breach to the public and employees suggested that it was unaware of the breach, its scope, or both. In its first confirmation of the data breach in February 2014, UPMC stated that only 22 employees were affected. In March 2014, UPMC reported 322 employees' information had been stolen. In April 2014, it confirmed that information for up to 27,000 employees was compromised and at least 788 of those employees had been victims of tax fraud. Finally, in May 2014, UPMC announced that the data breach compromised information from all of its employees.</w:t>
      </w:r>
    </w:p>
    <w:p w14:paraId="1242C4A6"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267ED079"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Appellants assert that UPMC owed a legal duty to protect their personal and financial information. They also allege that UPMC failed to keep their information safe and prevent vulnerabilities in its computer system. Specifically, they allege UPMC failed to properly encrypt data, establish adequate firewalls, and implement adequate authentication protocols to protect the information in its computer network. Appellants assert that UPMC's failure to safeguard their information was the direct and proximate cause of actual damages sustained from the filing of fraudulent tax returns using their stolen information. Appellants further allege that UPMC's failure to protect their information put them at an increased and imminent risk of becoming victims of identity theft crimes, fraud, and abuse in the future. This resulted in monetary damages incurred to protect themselves and their information.</w:t>
      </w:r>
    </w:p>
    <w:p w14:paraId="6A108653"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16FE0C3A"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Appellants brought actions for both negligence and breach of implied contract. These claims were brought on behalf of two separate but overlapping classes of similarly situated persons. The first proposed class included those current and former employees of UPMC </w:t>
      </w:r>
      <w:r w:rsidRPr="0071592D">
        <w:rPr>
          <w:rFonts w:ascii="Verdana" w:hAnsi="Verdana"/>
          <w:color w:val="000000" w:themeColor="text1"/>
        </w:rPr>
        <w:lastRenderedPageBreak/>
        <w:t>who have already been victimized by identity theft resulting from the data breach. The second proposed class included those individuals whose personal and financial information has been stolen, and who are at an increased and imminent risk of becoming victims of identity theft crimes, fraud, and abuse as a result of the data breach.</w:t>
      </w:r>
    </w:p>
    <w:p w14:paraId="2B27BA07"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5DC4E4FE" w14:textId="77777777" w:rsidR="00FD02AC" w:rsidRDefault="00FD02AC" w:rsidP="00FD02AC">
      <w:pPr>
        <w:spacing w:after="0" w:line="240" w:lineRule="auto"/>
        <w:jc w:val="both"/>
        <w:rPr>
          <w:rFonts w:ascii="Verdana" w:hAnsi="Verdana"/>
          <w:color w:val="000000" w:themeColor="text1"/>
        </w:rPr>
      </w:pPr>
      <w:r>
        <w:rPr>
          <w:rFonts w:ascii="Verdana" w:hAnsi="Verdana"/>
          <w:color w:val="000000" w:themeColor="text1"/>
        </w:rPr>
        <w:t>***</w:t>
      </w:r>
    </w:p>
    <w:p w14:paraId="1117A3F8" w14:textId="471DD01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52FA29A0" w14:textId="0BE1304F" w:rsidR="004B787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Appellants present three issues for our review:</w:t>
      </w:r>
    </w:p>
    <w:p w14:paraId="5906F335" w14:textId="77777777" w:rsidR="00FD02AC" w:rsidRPr="0071592D" w:rsidRDefault="00FD02AC" w:rsidP="00FD02AC">
      <w:pPr>
        <w:spacing w:after="0" w:line="240" w:lineRule="auto"/>
        <w:jc w:val="both"/>
        <w:rPr>
          <w:rFonts w:ascii="Verdana" w:hAnsi="Verdana"/>
          <w:color w:val="000000" w:themeColor="text1"/>
        </w:rPr>
      </w:pPr>
    </w:p>
    <w:p w14:paraId="621BB25E" w14:textId="77777777"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1. Does an employer have a legal duty to act reasonably in managing its computer systems to safeguard sensitive personal information collected from its employees, when the employer elects, for purposes of its own business efficiencies, to store and manage such sensitive employee data on its internet-accessible computer system, leaving it vulnerable to computer hackers, in the absence of reasonable safeguards?</w:t>
      </w:r>
    </w:p>
    <w:p w14:paraId="5B77A8E1"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58A9AEE0" w14:textId="77777777" w:rsidR="00FD02AC" w:rsidRDefault="00FD02AC" w:rsidP="00FD02AC">
      <w:pPr>
        <w:spacing w:after="0" w:line="240" w:lineRule="auto"/>
        <w:jc w:val="both"/>
        <w:rPr>
          <w:rFonts w:ascii="Verdana" w:hAnsi="Verdana"/>
          <w:color w:val="000000" w:themeColor="text1"/>
        </w:rPr>
      </w:pPr>
      <w:r>
        <w:rPr>
          <w:rFonts w:ascii="Verdana" w:hAnsi="Verdana"/>
          <w:color w:val="000000" w:themeColor="text1"/>
        </w:rPr>
        <w:t>***</w:t>
      </w:r>
    </w:p>
    <w:p w14:paraId="6401BAC6" w14:textId="289AE0AA" w:rsidR="004B787D" w:rsidRPr="0071592D" w:rsidRDefault="00000000" w:rsidP="00FD02AC">
      <w:pPr>
        <w:spacing w:after="0" w:line="240" w:lineRule="auto"/>
        <w:jc w:val="both"/>
        <w:rPr>
          <w:rFonts w:ascii="Verdana" w:hAnsi="Verdana"/>
          <w:color w:val="000000" w:themeColor="text1"/>
        </w:rPr>
      </w:pPr>
      <w:bookmarkStart w:id="6" w:name="co_anchor_B12040743907_1"/>
      <w:bookmarkStart w:id="7" w:name="co_anchor_B22040743907_1"/>
      <w:bookmarkEnd w:id="6"/>
      <w:bookmarkEnd w:id="7"/>
      <w:r w:rsidRPr="0071592D">
        <w:rPr>
          <w:rFonts w:ascii="Verdana" w:hAnsi="Verdana"/>
          <w:color w:val="000000" w:themeColor="text1"/>
        </w:rPr>
        <w:t> </w:t>
      </w:r>
    </w:p>
    <w:p w14:paraId="31672170" w14:textId="3ECDA8ED" w:rsidR="004B787D" w:rsidRPr="0071592D" w:rsidRDefault="00000000" w:rsidP="00FD02AC">
      <w:pPr>
        <w:spacing w:after="0" w:line="240" w:lineRule="auto"/>
        <w:jc w:val="both"/>
        <w:rPr>
          <w:rFonts w:ascii="Verdana" w:hAnsi="Verdana"/>
          <w:color w:val="000000" w:themeColor="text1"/>
        </w:rPr>
      </w:pPr>
      <w:bookmarkStart w:id="8" w:name="co_anchor_B32040743907_1"/>
      <w:bookmarkStart w:id="9" w:name="co_anchor_B42040743907_1"/>
      <w:bookmarkEnd w:id="8"/>
      <w:bookmarkEnd w:id="9"/>
      <w:r w:rsidRPr="0071592D">
        <w:rPr>
          <w:rFonts w:ascii="Verdana" w:hAnsi="Verdana"/>
          <w:color w:val="000000" w:themeColor="text1"/>
        </w:rPr>
        <w:t xml:space="preserve">Appellants first argue that the trial court erred in finding that UPMC did not owe a duty of reasonable care in its collection and storage of the employees' information and data. Appellants' Brief at 21. Whether a duty exists is a question for the courts to decide. </w:t>
      </w:r>
      <w:r w:rsidRPr="0071592D">
        <w:rPr>
          <w:rFonts w:ascii="Verdana" w:hAnsi="Verdana"/>
          <w:i/>
          <w:color w:val="000000" w:themeColor="text1"/>
        </w:rPr>
        <w:t>R.W. v. Manzek</w:t>
      </w:r>
      <w:r w:rsidRPr="0071592D">
        <w:rPr>
          <w:rFonts w:ascii="Verdana" w:hAnsi="Verdana"/>
          <w:color w:val="000000" w:themeColor="text1"/>
        </w:rPr>
        <w:t xml:space="preserve">, 585 Pa. 335, 888 A.2d 740, 746 (2005). To determine whether a duty of care exists, we look to the five factors set out in our Supreme Court's decision in </w:t>
      </w:r>
      <w:r w:rsidRPr="0071592D">
        <w:rPr>
          <w:rFonts w:ascii="Verdana" w:hAnsi="Verdana"/>
          <w:i/>
          <w:color w:val="000000" w:themeColor="text1"/>
        </w:rPr>
        <w:t>Althaus ex. rel. Althaus v. Cohen</w:t>
      </w:r>
      <w:r w:rsidRPr="0071592D">
        <w:rPr>
          <w:rFonts w:ascii="Verdana" w:hAnsi="Verdana"/>
          <w:color w:val="000000" w:themeColor="text1"/>
        </w:rPr>
        <w:t xml:space="preserve">, 562 Pa. 547, 756 A.2d 1166, 1169 (2000) and reaffirmed in </w:t>
      </w:r>
      <w:r w:rsidRPr="0071592D">
        <w:rPr>
          <w:rFonts w:ascii="Verdana" w:hAnsi="Verdana"/>
          <w:i/>
          <w:color w:val="000000" w:themeColor="text1"/>
        </w:rPr>
        <w:t>Seebold,</w:t>
      </w:r>
      <w:r w:rsidRPr="0071592D">
        <w:rPr>
          <w:rFonts w:ascii="Verdana" w:hAnsi="Verdana"/>
          <w:color w:val="000000" w:themeColor="text1"/>
        </w:rPr>
        <w:t xml:space="preserve"> 57 A.3d at 1243. Those factors are:</w:t>
      </w:r>
    </w:p>
    <w:p w14:paraId="5C7A818E" w14:textId="77777777"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1. the relationship between the parties;</w:t>
      </w:r>
    </w:p>
    <w:p w14:paraId="62C90371" w14:textId="77777777"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2. the social utility of the actor's conduct;</w:t>
      </w:r>
    </w:p>
    <w:p w14:paraId="5496049B" w14:textId="77777777"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3. the nature of the risk imposed and foreseeability of the harm incurred;</w:t>
      </w:r>
    </w:p>
    <w:p w14:paraId="1A3B8022" w14:textId="77777777"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4. the consequences of imposing a duty upon the actor; and,</w:t>
      </w:r>
    </w:p>
    <w:p w14:paraId="77AF5950" w14:textId="11EFD022"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5. the overall public interest in the proposed solution.</w:t>
      </w:r>
    </w:p>
    <w:p w14:paraId="1D023E69" w14:textId="1956F140" w:rsidR="004B787D" w:rsidRPr="0071592D" w:rsidRDefault="00000000" w:rsidP="00FD02AC">
      <w:pPr>
        <w:spacing w:after="0" w:line="240" w:lineRule="auto"/>
        <w:jc w:val="both"/>
        <w:rPr>
          <w:rFonts w:ascii="Verdana" w:hAnsi="Verdana"/>
          <w:color w:val="000000" w:themeColor="text1"/>
        </w:rPr>
      </w:pPr>
      <w:r w:rsidRPr="0071592D">
        <w:rPr>
          <w:rFonts w:ascii="Verdana" w:hAnsi="Verdana"/>
          <w:i/>
          <w:color w:val="000000" w:themeColor="text1"/>
        </w:rPr>
        <w:t>Althaus</w:t>
      </w:r>
      <w:r w:rsidRPr="0071592D">
        <w:rPr>
          <w:rFonts w:ascii="Verdana" w:hAnsi="Verdana"/>
          <w:color w:val="000000" w:themeColor="text1"/>
        </w:rPr>
        <w:t xml:space="preserve">, 756 A.2d at 1169; </w:t>
      </w:r>
      <w:r w:rsidRPr="0071592D">
        <w:rPr>
          <w:rFonts w:ascii="Verdana" w:hAnsi="Verdana"/>
          <w:i/>
          <w:color w:val="000000" w:themeColor="text1"/>
        </w:rPr>
        <w:t>Seebold</w:t>
      </w:r>
      <w:r w:rsidRPr="0071592D">
        <w:rPr>
          <w:rFonts w:ascii="Verdana" w:hAnsi="Verdana"/>
          <w:color w:val="000000" w:themeColor="text1"/>
        </w:rPr>
        <w:t xml:space="preserve">, 57 A.3d at 1243. None of the five factors is dispositive. </w:t>
      </w:r>
      <w:r w:rsidRPr="0071592D">
        <w:rPr>
          <w:rFonts w:ascii="Verdana" w:hAnsi="Verdana"/>
          <w:i/>
          <w:color w:val="000000" w:themeColor="text1"/>
        </w:rPr>
        <w:t>Phillips v. Cricket Lighters</w:t>
      </w:r>
      <w:r w:rsidRPr="0071592D">
        <w:rPr>
          <w:rFonts w:ascii="Verdana" w:hAnsi="Verdana"/>
          <w:color w:val="000000" w:themeColor="text1"/>
        </w:rPr>
        <w:t xml:space="preserve">, 576 Pa. 644, 841 A.2d 1000, 1008 (2003). We will find a duty “where the balance of these factors weighs in favor of placing such a burden on a defendant.” </w:t>
      </w:r>
      <w:r w:rsidRPr="0071592D">
        <w:rPr>
          <w:rFonts w:ascii="Verdana" w:hAnsi="Verdana"/>
          <w:i/>
          <w:color w:val="000000" w:themeColor="text1"/>
        </w:rPr>
        <w:t>Id.</w:t>
      </w:r>
      <w:r w:rsidRPr="0071592D">
        <w:rPr>
          <w:rFonts w:ascii="Verdana" w:hAnsi="Verdana"/>
          <w:color w:val="000000" w:themeColor="text1"/>
        </w:rPr>
        <w:t xml:space="preserve"> at 1008–1009.</w:t>
      </w:r>
    </w:p>
    <w:p w14:paraId="7A210ECB"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61417AFA" w14:textId="77777777" w:rsidR="004B787D" w:rsidRPr="0071592D" w:rsidRDefault="00000000" w:rsidP="00FD02AC">
      <w:pPr>
        <w:spacing w:after="0" w:line="240" w:lineRule="auto"/>
        <w:jc w:val="both"/>
        <w:rPr>
          <w:rFonts w:ascii="Verdana" w:hAnsi="Verdana"/>
          <w:color w:val="000000" w:themeColor="text1"/>
        </w:rPr>
      </w:pPr>
      <w:bookmarkStart w:id="10" w:name="co_anchor_B52040743907_1"/>
      <w:bookmarkEnd w:id="10"/>
      <w:r w:rsidRPr="0071592D">
        <w:rPr>
          <w:rFonts w:ascii="Verdana" w:hAnsi="Verdana"/>
          <w:color w:val="000000" w:themeColor="text1"/>
        </w:rPr>
        <w:t xml:space="preserve">Here, the trial court found the fourth and fifth factors (consequences of imposing a duty and overall public interest in the proposed solution) were controlling and weighed in favor of not imposing a duty on UPMC. Trial Court Opinion, 2/22/2016, at 6. Additionally, the trial court concluded that there should not be a private negligence cause of action to allow recovery of economic damages against employers where confidential information is stolen by third parties in a data breach. </w:t>
      </w:r>
      <w:r w:rsidRPr="0071592D">
        <w:rPr>
          <w:rFonts w:ascii="Verdana" w:hAnsi="Verdana"/>
          <w:i/>
          <w:color w:val="000000" w:themeColor="text1"/>
        </w:rPr>
        <w:t>Id.</w:t>
      </w:r>
      <w:r w:rsidRPr="0071592D">
        <w:rPr>
          <w:rFonts w:ascii="Verdana" w:hAnsi="Verdana"/>
          <w:color w:val="000000" w:themeColor="text1"/>
        </w:rPr>
        <w:t xml:space="preserve"> at 6, 11.</w:t>
      </w:r>
    </w:p>
    <w:p w14:paraId="2817C521"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32F24394" w14:textId="32B5BF64" w:rsidR="004B787D" w:rsidRPr="0071592D" w:rsidRDefault="00000000" w:rsidP="00FD02AC">
      <w:pPr>
        <w:spacing w:after="0" w:line="240" w:lineRule="auto"/>
        <w:jc w:val="both"/>
        <w:rPr>
          <w:rFonts w:ascii="Verdana" w:hAnsi="Verdana"/>
          <w:color w:val="000000" w:themeColor="text1"/>
        </w:rPr>
      </w:pPr>
      <w:bookmarkStart w:id="11" w:name="co_anchor_B62040743907_1"/>
      <w:bookmarkEnd w:id="11"/>
      <w:r w:rsidRPr="0071592D">
        <w:rPr>
          <w:rFonts w:ascii="Verdana" w:hAnsi="Verdana"/>
          <w:color w:val="000000" w:themeColor="text1"/>
        </w:rPr>
        <w:t xml:space="preserve">The first of the five factors in the </w:t>
      </w:r>
      <w:r w:rsidRPr="0071592D">
        <w:rPr>
          <w:rFonts w:ascii="Verdana" w:hAnsi="Verdana"/>
          <w:i/>
          <w:color w:val="000000" w:themeColor="text1"/>
        </w:rPr>
        <w:t>Althaus</w:t>
      </w:r>
      <w:r w:rsidRPr="0071592D">
        <w:rPr>
          <w:rFonts w:ascii="Verdana" w:hAnsi="Verdana"/>
          <w:color w:val="000000" w:themeColor="text1"/>
        </w:rPr>
        <w:t xml:space="preserve"> test is the relationship between the parties. </w:t>
      </w:r>
      <w:r w:rsidRPr="0071592D">
        <w:rPr>
          <w:rFonts w:ascii="Verdana" w:hAnsi="Verdana"/>
          <w:i/>
          <w:color w:val="000000" w:themeColor="text1"/>
        </w:rPr>
        <w:t>Althaus</w:t>
      </w:r>
      <w:r w:rsidRPr="0071592D">
        <w:rPr>
          <w:rFonts w:ascii="Verdana" w:hAnsi="Verdana"/>
          <w:color w:val="000000" w:themeColor="text1"/>
        </w:rPr>
        <w:t xml:space="preserve">, 756 A.2d at 1169. A duty is “predicated on the relationship that exists between the parties at the relevant time.” </w:t>
      </w:r>
      <w:r w:rsidRPr="0071592D">
        <w:rPr>
          <w:rFonts w:ascii="Verdana" w:hAnsi="Verdana"/>
          <w:i/>
          <w:color w:val="000000" w:themeColor="text1"/>
        </w:rPr>
        <w:t>Manzek</w:t>
      </w:r>
      <w:r w:rsidRPr="0071592D">
        <w:rPr>
          <w:rFonts w:ascii="Verdana" w:hAnsi="Verdana"/>
          <w:color w:val="000000" w:themeColor="text1"/>
        </w:rPr>
        <w:t xml:space="preserve">, 888 A.2d at 747. The relationship does not have to be specific or legally defined. </w:t>
      </w:r>
      <w:r w:rsidRPr="0071592D">
        <w:rPr>
          <w:rFonts w:ascii="Verdana" w:hAnsi="Verdana"/>
          <w:i/>
          <w:color w:val="000000" w:themeColor="text1"/>
        </w:rPr>
        <w:t>Charlie v. Erie Ins. Exchange</w:t>
      </w:r>
      <w:r w:rsidRPr="0071592D">
        <w:rPr>
          <w:rFonts w:ascii="Verdana" w:hAnsi="Verdana"/>
          <w:color w:val="000000" w:themeColor="text1"/>
        </w:rPr>
        <w:t xml:space="preserve">, 100 A.3d 244, 252 (Pa. Super. 2014). Here, the parties had an employer-employee relationship. This type of relationship traditionally has given rise to duties on the employer. </w:t>
      </w:r>
      <w:r w:rsidRPr="0071592D">
        <w:rPr>
          <w:rFonts w:ascii="Verdana" w:hAnsi="Verdana"/>
          <w:i/>
          <w:color w:val="000000" w:themeColor="text1"/>
        </w:rPr>
        <w:t>See e.g.</w:t>
      </w:r>
      <w:r w:rsidRPr="0071592D">
        <w:rPr>
          <w:rFonts w:ascii="Verdana" w:hAnsi="Verdana"/>
          <w:color w:val="000000" w:themeColor="text1"/>
        </w:rPr>
        <w:t xml:space="preserve"> </w:t>
      </w:r>
      <w:r w:rsidRPr="0071592D">
        <w:rPr>
          <w:rFonts w:ascii="Verdana" w:hAnsi="Verdana"/>
          <w:i/>
          <w:color w:val="000000" w:themeColor="text1"/>
        </w:rPr>
        <w:t>Mitchell v. Scharf</w:t>
      </w:r>
      <w:r w:rsidRPr="0071592D">
        <w:rPr>
          <w:rFonts w:ascii="Verdana" w:hAnsi="Verdana"/>
          <w:color w:val="000000" w:themeColor="text1"/>
        </w:rPr>
        <w:t xml:space="preserve">, 179 </w:t>
      </w:r>
      <w:r w:rsidRPr="0071592D">
        <w:rPr>
          <w:rFonts w:ascii="Verdana" w:hAnsi="Verdana"/>
          <w:color w:val="000000" w:themeColor="text1"/>
        </w:rPr>
        <w:lastRenderedPageBreak/>
        <w:t>Pa.Super. 220, 115 A.2d 774 (1995). Accordingly, the first factor weighs in favor of imposing a duty on UPMC to protect its employees' personal information.</w:t>
      </w:r>
    </w:p>
    <w:p w14:paraId="13174E46"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00228E2D" w14:textId="1F8C3044" w:rsidR="004B787D" w:rsidRPr="0071592D" w:rsidRDefault="00000000" w:rsidP="00FD02AC">
      <w:pPr>
        <w:spacing w:after="0" w:line="240" w:lineRule="auto"/>
        <w:jc w:val="both"/>
        <w:rPr>
          <w:rFonts w:ascii="Verdana" w:hAnsi="Verdana"/>
          <w:color w:val="000000" w:themeColor="text1"/>
        </w:rPr>
      </w:pPr>
      <w:bookmarkStart w:id="12" w:name="co_anchor_B72040743907_1"/>
      <w:bookmarkEnd w:id="12"/>
      <w:r w:rsidRPr="0071592D">
        <w:rPr>
          <w:rFonts w:ascii="Verdana" w:hAnsi="Verdana"/>
          <w:color w:val="000000" w:themeColor="text1"/>
        </w:rPr>
        <w:t xml:space="preserve">The second factor looks at the social utility of the conduct at issue and is weighed against the third factor, which looks at the nature of the risk imposed and foreseeability of the harm incurred. </w:t>
      </w:r>
      <w:r w:rsidRPr="0071592D">
        <w:rPr>
          <w:rFonts w:ascii="Verdana" w:hAnsi="Verdana"/>
          <w:i/>
          <w:color w:val="000000" w:themeColor="text1"/>
        </w:rPr>
        <w:t>Althaus</w:t>
      </w:r>
      <w:r w:rsidRPr="0071592D">
        <w:rPr>
          <w:rFonts w:ascii="Verdana" w:hAnsi="Verdana"/>
          <w:color w:val="000000" w:themeColor="text1"/>
        </w:rPr>
        <w:t xml:space="preserve">, 756 A.2d at 1169–1170. Employers, such as UPMC, have an obvious need to collect and store personal information about their employees. With the increased use of electronics and technology today, it is not surprising that this information is often stored electronically. There is an obvious social utility in this practice to promote efficiency. However, as data breaches become more common, the risk of storing information electronically increases. Also, it is foreseeable that harm from these breaches would be incurred. Our Supreme Court has, however, held that a third party committing a crime is a superseding cause. </w:t>
      </w:r>
      <w:r w:rsidRPr="0071592D">
        <w:rPr>
          <w:rFonts w:ascii="Verdana" w:hAnsi="Verdana"/>
          <w:i/>
          <w:color w:val="000000" w:themeColor="text1"/>
        </w:rPr>
        <w:t>Ford v. Jeffries</w:t>
      </w:r>
      <w:r w:rsidRPr="0071592D">
        <w:rPr>
          <w:rFonts w:ascii="Verdana" w:hAnsi="Verdana"/>
          <w:color w:val="000000" w:themeColor="text1"/>
        </w:rPr>
        <w:t xml:space="preserve">, 474 Pa. 588, 379 A.2d 111, 115 (1977). It is well established that a defendant does not have a duty to guard against the criminal acts of superseding third-parties unless he realized, or should have realized, the likelihood of such a situation. </w:t>
      </w:r>
      <w:r w:rsidRPr="0071592D">
        <w:rPr>
          <w:rFonts w:ascii="Verdana" w:hAnsi="Verdana"/>
          <w:i/>
          <w:color w:val="000000" w:themeColor="text1"/>
        </w:rPr>
        <w:t>Mahan v. Am–Guard, Inc.</w:t>
      </w:r>
      <w:r w:rsidRPr="0071592D">
        <w:rPr>
          <w:rFonts w:ascii="Verdana" w:hAnsi="Verdana"/>
          <w:color w:val="000000" w:themeColor="text1"/>
        </w:rPr>
        <w:t>, 841 A.2d 1052, 1060–1061 (Pa. Super. 2003) (citation omitted).</w:t>
      </w:r>
    </w:p>
    <w:p w14:paraId="48B51769"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664FE06D" w14:textId="1B1AE568"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While a data breach (and its ensuing harm) is generally foreseeable, we do not believe that this possibility outweighs the social utility of electronically storing employee information. In the modern era, more and more information is stored electronically and the days of keeping documents in file cabinets are long gone. Without doubt, employees and consumers alike derive substantial benefits from efficiencies resulting from the transfer and storage of electronic data. Although breaches of electronically stored data are a potential risk, this generalized risk does not outweigh the social utility of maintaining electronically stored information. We note here that Appellants do not allege that UPMC encountered a specific threat of intrusion into its computer systems. Thus, the second factor of the </w:t>
      </w:r>
      <w:r w:rsidRPr="0071592D">
        <w:rPr>
          <w:rFonts w:ascii="Verdana" w:hAnsi="Verdana"/>
          <w:i/>
          <w:color w:val="000000" w:themeColor="text1"/>
        </w:rPr>
        <w:t>Althaus</w:t>
      </w:r>
      <w:r w:rsidRPr="0071592D">
        <w:rPr>
          <w:rFonts w:ascii="Verdana" w:hAnsi="Verdana"/>
          <w:color w:val="000000" w:themeColor="text1"/>
        </w:rPr>
        <w:t xml:space="preserve"> test, when weighed against the third factor, augurs against imposing a duty on UPMC.</w:t>
      </w:r>
    </w:p>
    <w:p w14:paraId="21619030"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36E54C11" w14:textId="6718D6CC"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The fourth factor of the </w:t>
      </w:r>
      <w:r w:rsidRPr="0071592D">
        <w:rPr>
          <w:rFonts w:ascii="Verdana" w:hAnsi="Verdana"/>
          <w:i/>
          <w:color w:val="000000" w:themeColor="text1"/>
        </w:rPr>
        <w:t>Althaus</w:t>
      </w:r>
      <w:r w:rsidRPr="0071592D">
        <w:rPr>
          <w:rFonts w:ascii="Verdana" w:hAnsi="Verdana"/>
          <w:color w:val="000000" w:themeColor="text1"/>
        </w:rPr>
        <w:t xml:space="preserve"> test looks at the consequences of imposing a duty. </w:t>
      </w:r>
      <w:r w:rsidRPr="0071592D">
        <w:rPr>
          <w:rFonts w:ascii="Verdana" w:hAnsi="Verdana"/>
          <w:i/>
          <w:color w:val="000000" w:themeColor="text1"/>
        </w:rPr>
        <w:t>Althaus</w:t>
      </w:r>
      <w:r w:rsidRPr="0071592D">
        <w:rPr>
          <w:rFonts w:ascii="Verdana" w:hAnsi="Verdana"/>
          <w:color w:val="000000" w:themeColor="text1"/>
        </w:rPr>
        <w:t xml:space="preserve">, 756 A.2d at 1169. The trial court found this to be a controlling factor and found that it did not support the imposition of a duty. Trial Court Opinion, 2/22/2016, at 6. We agree. As the trial court correctly noted, “data breaches are widespread” and “there is not a safe harbor for entities storing confidential information.” </w:t>
      </w:r>
      <w:r w:rsidRPr="0071592D">
        <w:rPr>
          <w:rFonts w:ascii="Verdana" w:hAnsi="Verdana"/>
          <w:i/>
          <w:color w:val="000000" w:themeColor="text1"/>
        </w:rPr>
        <w:t>Id.</w:t>
      </w:r>
      <w:r w:rsidRPr="0071592D">
        <w:rPr>
          <w:rFonts w:ascii="Verdana" w:hAnsi="Verdana"/>
          <w:color w:val="000000" w:themeColor="text1"/>
        </w:rPr>
        <w:t xml:space="preserve"> No judicially created duty of care is needed to incentivize companies to protect their confidential information. Appellants are misguided in their assertion that the absence of a legal duty equates to the freedom of UPMC to make employees' confidential information openly available to the public. </w:t>
      </w:r>
      <w:r w:rsidRPr="0071592D">
        <w:rPr>
          <w:rFonts w:ascii="Verdana" w:hAnsi="Verdana"/>
          <w:i/>
          <w:color w:val="000000" w:themeColor="text1"/>
        </w:rPr>
        <w:t>See</w:t>
      </w:r>
      <w:r w:rsidRPr="0071592D">
        <w:rPr>
          <w:rFonts w:ascii="Verdana" w:hAnsi="Verdana"/>
          <w:color w:val="000000" w:themeColor="text1"/>
        </w:rPr>
        <w:t xml:space="preserve"> Appellants' Brief at 33. There are still statutes and safeguards in place to prevent employers from disclosing confidential information. </w:t>
      </w:r>
      <w:r w:rsidRPr="0071592D">
        <w:rPr>
          <w:rFonts w:ascii="Verdana" w:hAnsi="Verdana"/>
          <w:i/>
          <w:color w:val="000000" w:themeColor="text1"/>
        </w:rPr>
        <w:t>See e.g.</w:t>
      </w:r>
      <w:r w:rsidRPr="0071592D">
        <w:rPr>
          <w:rFonts w:ascii="Verdana" w:hAnsi="Verdana"/>
          <w:color w:val="000000" w:themeColor="text1"/>
        </w:rPr>
        <w:t xml:space="preserve"> 73 P.S. § 2301, </w:t>
      </w:r>
      <w:r w:rsidRPr="0071592D">
        <w:rPr>
          <w:rFonts w:ascii="Verdana" w:hAnsi="Verdana"/>
          <w:i/>
          <w:color w:val="000000" w:themeColor="text1"/>
        </w:rPr>
        <w:t>et seq</w:t>
      </w:r>
      <w:r w:rsidRPr="0071592D">
        <w:rPr>
          <w:rFonts w:ascii="Verdana" w:hAnsi="Verdana"/>
          <w:color w:val="000000" w:themeColor="text1"/>
        </w:rPr>
        <w:t xml:space="preserve">., 74 P.S. § 201, </w:t>
      </w:r>
      <w:r w:rsidRPr="0071592D">
        <w:rPr>
          <w:rFonts w:ascii="Verdana" w:hAnsi="Verdana"/>
          <w:i/>
          <w:color w:val="000000" w:themeColor="text1"/>
        </w:rPr>
        <w:t>et seq</w:t>
      </w:r>
      <w:r w:rsidRPr="0071592D">
        <w:rPr>
          <w:rFonts w:ascii="Verdana" w:hAnsi="Verdana"/>
          <w:color w:val="000000" w:themeColor="text1"/>
        </w:rPr>
        <w:t>., 18 U.S.C. § 2701–2712. We find it unnecessary to require employers to incur potentially significant costs to increase security measures when there is no true way to prevent data breaches altogether. Employers strive to run their businesses efficiently and they have an incentive to protect employee information and prevent these types of occurrences. As the trial court correctly found, the fourth factor weighs in favor of not imposing a duty.</w:t>
      </w:r>
    </w:p>
    <w:p w14:paraId="15A3FEB9"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4F6FAAD1" w14:textId="1EA02915"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lastRenderedPageBreak/>
        <w:t xml:space="preserve">Finally, the last </w:t>
      </w:r>
      <w:r w:rsidRPr="0071592D">
        <w:rPr>
          <w:rFonts w:ascii="Verdana" w:hAnsi="Verdana"/>
          <w:i/>
          <w:color w:val="000000" w:themeColor="text1"/>
        </w:rPr>
        <w:t>Althaus</w:t>
      </w:r>
      <w:r w:rsidRPr="0071592D">
        <w:rPr>
          <w:rFonts w:ascii="Verdana" w:hAnsi="Verdana"/>
          <w:color w:val="000000" w:themeColor="text1"/>
        </w:rPr>
        <w:t xml:space="preserve"> factor is the public interest in imposing a duty. </w:t>
      </w:r>
      <w:r w:rsidRPr="0071592D">
        <w:rPr>
          <w:rFonts w:ascii="Verdana" w:hAnsi="Verdana"/>
          <w:i/>
          <w:color w:val="000000" w:themeColor="text1"/>
        </w:rPr>
        <w:t>Althaus</w:t>
      </w:r>
      <w:r w:rsidRPr="0071592D">
        <w:rPr>
          <w:rFonts w:ascii="Verdana" w:hAnsi="Verdana"/>
          <w:color w:val="000000" w:themeColor="text1"/>
        </w:rPr>
        <w:t xml:space="preserve">, 756 A.2d at 1169. The trial court also found this factor controlling. Trial Court Opinion, 2/22/2016, at 6. In addressing this factor, the trial court noted that creating a duty here would greatly expend judicial resources. </w:t>
      </w:r>
      <w:r w:rsidRPr="0071592D">
        <w:rPr>
          <w:rFonts w:ascii="Verdana" w:hAnsi="Verdana"/>
          <w:i/>
          <w:color w:val="000000" w:themeColor="text1"/>
        </w:rPr>
        <w:t>Id.</w:t>
      </w:r>
      <w:r w:rsidRPr="0071592D">
        <w:rPr>
          <w:rFonts w:ascii="Verdana" w:hAnsi="Verdana"/>
          <w:color w:val="000000" w:themeColor="text1"/>
        </w:rPr>
        <w:t xml:space="preserve"> at 7. Importantly, it also considered the Pennsylvania General Assembly's legislative history on this subject and reasoned that the public interest is not served by judicial action that disrupts that deliberative process. The trial court noted:</w:t>
      </w:r>
    </w:p>
    <w:p w14:paraId="09F8E2D4" w14:textId="01612D30"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 xml:space="preserve">The General Assembly has considered and continues to consider the same issues that [Appellants] are requesting [the] court to consider under the </w:t>
      </w:r>
      <w:r w:rsidRPr="0071592D">
        <w:rPr>
          <w:rFonts w:ascii="Verdana" w:hAnsi="Verdana"/>
          <w:i/>
          <w:color w:val="000000" w:themeColor="text1"/>
        </w:rPr>
        <w:t>Seebold/Althaus</w:t>
      </w:r>
      <w:r w:rsidRPr="0071592D">
        <w:rPr>
          <w:rFonts w:ascii="Verdana" w:hAnsi="Verdana"/>
          <w:color w:val="000000" w:themeColor="text1"/>
        </w:rPr>
        <w:t xml:space="preserve"> line of cases. The only duty that the General Assembly has chosen to impose as of today is notification of a data breach. It is not for the courts to alter the direction of the General Assembly because public policy is a matter for the [l]egislature.</w:t>
      </w:r>
    </w:p>
    <w:p w14:paraId="2C229CC2" w14:textId="43FADEB6"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 xml:space="preserve">[The trial court finds] persuasive the [o]pinion of an Illinois appellate court in </w:t>
      </w:r>
      <w:r w:rsidRPr="0071592D">
        <w:rPr>
          <w:rFonts w:ascii="Verdana" w:hAnsi="Verdana"/>
          <w:i/>
          <w:color w:val="000000" w:themeColor="text1"/>
        </w:rPr>
        <w:t>Cooney v. Chicago Pub. Sch.</w:t>
      </w:r>
      <w:r w:rsidRPr="0071592D">
        <w:rPr>
          <w:rFonts w:ascii="Verdana" w:hAnsi="Verdana"/>
          <w:color w:val="000000" w:themeColor="text1"/>
        </w:rPr>
        <w:t>, 407 Ill.App.3d 358, 347 Ill.Dec. 733, 943 N.E.2d 23, 28–29 (2010), which rejected the plaintiffs' request that the court create a new common law duty to protect and safeguard confidential information because the [l]egislature had already imposed a duty of notification:</w:t>
      </w:r>
    </w:p>
    <w:p w14:paraId="46E48BBA" w14:textId="77777777" w:rsidR="004B787D" w:rsidRPr="0071592D" w:rsidRDefault="00000000" w:rsidP="00FD02AC">
      <w:pPr>
        <w:spacing w:after="0" w:line="240" w:lineRule="auto"/>
        <w:ind w:left="400"/>
        <w:jc w:val="both"/>
        <w:rPr>
          <w:rFonts w:ascii="Verdana" w:hAnsi="Verdana"/>
          <w:color w:val="000000" w:themeColor="text1"/>
        </w:rPr>
      </w:pPr>
      <w:r w:rsidRPr="0071592D">
        <w:rPr>
          <w:rFonts w:ascii="Verdana" w:hAnsi="Verdana"/>
          <w:color w:val="000000" w:themeColor="text1"/>
        </w:rPr>
        <w:t>While we do not minimize the importance of protecting this information, we do not believe that the creation of a new legal duty beyond legislative requirements already in place is part of our role on appellate review. As noted, the legislature has specifically addressed the issue and only required the defendant to provide notice of the disclosure.</w:t>
      </w:r>
    </w:p>
    <w:p w14:paraId="48D142D3" w14:textId="658FF87F" w:rsidR="004B787D" w:rsidRPr="0071592D" w:rsidRDefault="00000000" w:rsidP="00FD02AC">
      <w:pPr>
        <w:spacing w:after="0" w:line="240" w:lineRule="auto"/>
        <w:jc w:val="both"/>
        <w:rPr>
          <w:rFonts w:ascii="Verdana" w:hAnsi="Verdana"/>
          <w:color w:val="000000" w:themeColor="text1"/>
        </w:rPr>
      </w:pPr>
      <w:r w:rsidRPr="0071592D">
        <w:rPr>
          <w:rFonts w:ascii="Verdana" w:hAnsi="Verdana"/>
          <w:i/>
          <w:color w:val="000000" w:themeColor="text1"/>
        </w:rPr>
        <w:t>Id.</w:t>
      </w:r>
      <w:r w:rsidRPr="0071592D">
        <w:rPr>
          <w:rFonts w:ascii="Verdana" w:hAnsi="Verdana"/>
          <w:color w:val="000000" w:themeColor="text1"/>
        </w:rPr>
        <w:t xml:space="preserve"> at 10 (internal alterations and emphasis omitted). We agree with the trial court's reasoning and also find </w:t>
      </w:r>
      <w:r w:rsidRPr="0071592D">
        <w:rPr>
          <w:rFonts w:ascii="Verdana" w:hAnsi="Verdana"/>
          <w:i/>
          <w:color w:val="000000" w:themeColor="text1"/>
        </w:rPr>
        <w:t>Cooney</w:t>
      </w:r>
      <w:r w:rsidRPr="0071592D">
        <w:rPr>
          <w:rFonts w:ascii="Verdana" w:hAnsi="Verdana"/>
          <w:color w:val="000000" w:themeColor="text1"/>
        </w:rPr>
        <w:t xml:space="preserve"> to be persuasive. The fifth factor weighs against finding a duty. Accordingly, the trial court did not err in finding that UPMC owed no duty under Pennsylvania law.</w:t>
      </w:r>
    </w:p>
    <w:p w14:paraId="1EFD73D8"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2DE85AB1" w14:textId="2F1121A1" w:rsidR="00FD02AC" w:rsidRDefault="00FD02AC" w:rsidP="00FD02AC">
      <w:pPr>
        <w:spacing w:after="0" w:line="240" w:lineRule="auto"/>
        <w:jc w:val="both"/>
        <w:rPr>
          <w:rFonts w:ascii="Verdana" w:hAnsi="Verdana"/>
          <w:color w:val="000000" w:themeColor="text1"/>
        </w:rPr>
      </w:pPr>
      <w:r>
        <w:rPr>
          <w:rFonts w:ascii="Verdana" w:hAnsi="Verdana"/>
          <w:color w:val="000000" w:themeColor="text1"/>
        </w:rPr>
        <w:t>***</w:t>
      </w:r>
    </w:p>
    <w:p w14:paraId="3064FFE1" w14:textId="45EC16B6" w:rsidR="004B787D" w:rsidRPr="0071592D" w:rsidRDefault="00000000" w:rsidP="00FD02AC">
      <w:pPr>
        <w:spacing w:after="0" w:line="240" w:lineRule="auto"/>
        <w:jc w:val="both"/>
        <w:rPr>
          <w:rFonts w:ascii="Verdana" w:hAnsi="Verdana"/>
          <w:color w:val="000000" w:themeColor="text1"/>
        </w:rPr>
      </w:pPr>
      <w:bookmarkStart w:id="13" w:name="co_anchor_B82040743907_1"/>
      <w:bookmarkStart w:id="14" w:name="co_anchor_B92040743907_1"/>
      <w:bookmarkEnd w:id="13"/>
      <w:bookmarkEnd w:id="14"/>
      <w:r w:rsidRPr="0071592D">
        <w:rPr>
          <w:rFonts w:ascii="Verdana" w:hAnsi="Verdana"/>
          <w:color w:val="000000" w:themeColor="text1"/>
        </w:rPr>
        <w:t> </w:t>
      </w:r>
    </w:p>
    <w:p w14:paraId="2DB91F00"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Order affirmed. Application to Submit Supplemental Authority granted.</w:t>
      </w:r>
    </w:p>
    <w:p w14:paraId="5C00BB5F" w14:textId="77777777" w:rsidR="00FD02AC" w:rsidRDefault="00FD02AC" w:rsidP="00FD02AC">
      <w:pPr>
        <w:spacing w:after="0" w:line="240" w:lineRule="auto"/>
        <w:jc w:val="both"/>
        <w:rPr>
          <w:rFonts w:ascii="Verdana" w:hAnsi="Verdana"/>
          <w:color w:val="000000" w:themeColor="text1"/>
        </w:rPr>
      </w:pPr>
    </w:p>
    <w:p w14:paraId="31E708AF" w14:textId="7AAD0E0B"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11EA91F9" w14:textId="765C1814" w:rsidR="00FD02AC" w:rsidRDefault="00000000" w:rsidP="00FD02AC">
      <w:pPr>
        <w:spacing w:after="0" w:line="240" w:lineRule="auto"/>
        <w:rPr>
          <w:rFonts w:ascii="Verdana" w:hAnsi="Verdana"/>
          <w:color w:val="000000" w:themeColor="text1"/>
        </w:rPr>
      </w:pPr>
      <w:bookmarkStart w:id="15" w:name="co_anchor_Ia68b059209db11eda9dfc301c2cc"/>
      <w:bookmarkStart w:id="16" w:name="co_dissent_opinion_1"/>
      <w:r w:rsidRPr="0071592D">
        <w:rPr>
          <w:rFonts w:ascii="Verdana" w:hAnsi="Verdana"/>
          <w:color w:val="000000" w:themeColor="text1"/>
        </w:rPr>
        <w:t>DISSENTING STATEMENT BY MUSMANNO, J.:</w:t>
      </w:r>
    </w:p>
    <w:p w14:paraId="4614BA17" w14:textId="77777777" w:rsidR="00FD02AC" w:rsidRPr="0071592D" w:rsidRDefault="00FD02AC" w:rsidP="00FD02AC">
      <w:pPr>
        <w:spacing w:after="0" w:line="240" w:lineRule="auto"/>
        <w:rPr>
          <w:rFonts w:ascii="Verdana" w:hAnsi="Verdana"/>
          <w:color w:val="000000" w:themeColor="text1"/>
        </w:rPr>
      </w:pPr>
    </w:p>
    <w:p w14:paraId="3D09C1E4" w14:textId="77777777" w:rsidR="00FD02AC" w:rsidRDefault="00000000" w:rsidP="00FD02AC">
      <w:pPr>
        <w:spacing w:after="0" w:line="240" w:lineRule="auto"/>
        <w:jc w:val="both"/>
        <w:rPr>
          <w:rFonts w:ascii="Verdana" w:hAnsi="Verdana"/>
          <w:color w:val="000000" w:themeColor="text1"/>
        </w:rPr>
      </w:pPr>
      <w:bookmarkStart w:id="17" w:name="co_anchor_Ia68b059209db11eda9dfc301c2"/>
      <w:bookmarkEnd w:id="15"/>
      <w:bookmarkEnd w:id="16"/>
      <w:r w:rsidRPr="0071592D">
        <w:rPr>
          <w:rFonts w:ascii="Verdana" w:hAnsi="Verdana"/>
          <w:color w:val="000000" w:themeColor="text1"/>
        </w:rPr>
        <w:t xml:space="preserve">The question before this Court is whether Appellants have stated a cause of action against </w:t>
      </w:r>
    </w:p>
    <w:p w14:paraId="4F966D86" w14:textId="7EEBF458"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UPMC for negligence. More particularly, we must determine whether UPMC owed Appellants a duty of reasonable care in the collection and storage of its employees' personal information and data. After a discussion of the five factors set forth by our Supreme Court in </w:t>
      </w:r>
      <w:r w:rsidRPr="0071592D">
        <w:rPr>
          <w:rFonts w:ascii="Verdana" w:hAnsi="Verdana"/>
          <w:i/>
          <w:color w:val="000000" w:themeColor="text1"/>
        </w:rPr>
        <w:t>Althaus ex. rel. Althaus v. Cohen</w:t>
      </w:r>
      <w:r w:rsidRPr="0071592D">
        <w:rPr>
          <w:rFonts w:ascii="Verdana" w:hAnsi="Verdana"/>
          <w:color w:val="000000" w:themeColor="text1"/>
        </w:rPr>
        <w:t>, 756 A.2d 1166 (Pa. 2000), the Majority would conclude that UPMC owed no duty to Appellants. However, upon review, I disagree with the Majority's conclusion.</w:t>
      </w:r>
    </w:p>
    <w:bookmarkEnd w:id="17"/>
    <w:p w14:paraId="58F47E00"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3692BB6A" w14:textId="786B0CA9"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“[T]o maintain a negligence action, the plaintiff must show that the defendant had a duty “to conform to a certain standard of conduct;” that the defendant breached that duty; that such breach caused the injury in question; and actual loss or damage.” </w:t>
      </w:r>
      <w:r w:rsidRPr="0071592D">
        <w:rPr>
          <w:rFonts w:ascii="Verdana" w:hAnsi="Verdana"/>
          <w:i/>
          <w:color w:val="000000" w:themeColor="text1"/>
        </w:rPr>
        <w:t>Phillips v. Cricket Lighters</w:t>
      </w:r>
      <w:r w:rsidRPr="0071592D">
        <w:rPr>
          <w:rFonts w:ascii="Verdana" w:hAnsi="Verdana"/>
          <w:color w:val="000000" w:themeColor="text1"/>
        </w:rPr>
        <w:t>, 576 Pa. 644, 841 A.2d 1000, 1008 (2003). In determining whether a duty of care exists, we consider</w:t>
      </w:r>
    </w:p>
    <w:p w14:paraId="362C9D30" w14:textId="77777777"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1. the relationship between the parties;</w:t>
      </w:r>
    </w:p>
    <w:p w14:paraId="6896FF72" w14:textId="77777777"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2. the social utility of the actor's conduct;</w:t>
      </w:r>
    </w:p>
    <w:p w14:paraId="03D29D6C" w14:textId="77777777"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lastRenderedPageBreak/>
        <w:t>3. the nature of the risk imposed and foreseeability of the harm incurred;</w:t>
      </w:r>
    </w:p>
    <w:p w14:paraId="41EDE604" w14:textId="77777777"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4. the consequences of imposing a duty upon the actor; and</w:t>
      </w:r>
    </w:p>
    <w:p w14:paraId="5E9E009E" w14:textId="77777777" w:rsidR="004B787D" w:rsidRPr="0071592D" w:rsidRDefault="00000000" w:rsidP="00FD02AC">
      <w:pPr>
        <w:spacing w:after="0" w:line="240" w:lineRule="auto"/>
        <w:ind w:left="200"/>
        <w:jc w:val="both"/>
        <w:rPr>
          <w:rFonts w:ascii="Verdana" w:hAnsi="Verdana"/>
          <w:color w:val="000000" w:themeColor="text1"/>
        </w:rPr>
      </w:pPr>
      <w:r w:rsidRPr="0071592D">
        <w:rPr>
          <w:rFonts w:ascii="Verdana" w:hAnsi="Verdana"/>
          <w:color w:val="000000" w:themeColor="text1"/>
        </w:rPr>
        <w:t>5. the overall public interest in the proposed solution.</w:t>
      </w:r>
    </w:p>
    <w:p w14:paraId="6E8A8D14" w14:textId="67AD23BF" w:rsidR="004B787D" w:rsidRPr="0071592D" w:rsidRDefault="00000000" w:rsidP="00FD02AC">
      <w:pPr>
        <w:spacing w:after="0" w:line="240" w:lineRule="auto"/>
        <w:jc w:val="both"/>
        <w:rPr>
          <w:rFonts w:ascii="Verdana" w:hAnsi="Verdana"/>
          <w:color w:val="000000" w:themeColor="text1"/>
        </w:rPr>
      </w:pPr>
      <w:r w:rsidRPr="0071592D">
        <w:rPr>
          <w:rFonts w:ascii="Verdana" w:hAnsi="Verdana"/>
          <w:i/>
          <w:color w:val="000000" w:themeColor="text1"/>
        </w:rPr>
        <w:t>Althaus</w:t>
      </w:r>
      <w:r w:rsidRPr="0071592D">
        <w:rPr>
          <w:rFonts w:ascii="Verdana" w:hAnsi="Verdana"/>
          <w:color w:val="000000" w:themeColor="text1"/>
        </w:rPr>
        <w:t xml:space="preserve">, 756 A.2d at 1169; </w:t>
      </w:r>
      <w:r w:rsidRPr="0071592D">
        <w:rPr>
          <w:rFonts w:ascii="Verdana" w:hAnsi="Verdana"/>
          <w:i/>
          <w:color w:val="000000" w:themeColor="text1"/>
        </w:rPr>
        <w:t>accord Seebold v. Prison Health Servs., Inc.</w:t>
      </w:r>
      <w:r w:rsidRPr="0071592D">
        <w:rPr>
          <w:rFonts w:ascii="Verdana" w:hAnsi="Verdana"/>
          <w:color w:val="000000" w:themeColor="text1"/>
        </w:rPr>
        <w:t xml:space="preserve">, 618 Pa. 632, 57 A.3d 1232, 1243 (2012). As the Majority correctly states, “[w]e will find a duty where the balance of these factors weigh in favor of placing such a burden on a defendant.” Op. at 323 (internal quotation marks omitted) (quoting </w:t>
      </w:r>
      <w:r w:rsidRPr="0071592D">
        <w:rPr>
          <w:rFonts w:ascii="Verdana" w:hAnsi="Verdana"/>
          <w:i/>
          <w:color w:val="000000" w:themeColor="text1"/>
        </w:rPr>
        <w:t>Phillips</w:t>
      </w:r>
      <w:r w:rsidRPr="0071592D">
        <w:rPr>
          <w:rFonts w:ascii="Verdana" w:hAnsi="Verdana"/>
          <w:color w:val="000000" w:themeColor="text1"/>
        </w:rPr>
        <w:t>, 841 A.2d at 1008–09).</w:t>
      </w:r>
    </w:p>
    <w:p w14:paraId="545336BE"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1768083E" w14:textId="5F7493CD"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The Majority would conclude that the second through fifth factors weigh against the imposition of a duty upon UMPC. Upon review, however, I would conclude that the balance of the </w:t>
      </w:r>
      <w:r w:rsidRPr="0071592D">
        <w:rPr>
          <w:rFonts w:ascii="Verdana" w:hAnsi="Verdana"/>
          <w:i/>
          <w:color w:val="000000" w:themeColor="text1"/>
        </w:rPr>
        <w:t>Althaus</w:t>
      </w:r>
      <w:r w:rsidRPr="0071592D">
        <w:rPr>
          <w:rFonts w:ascii="Verdana" w:hAnsi="Verdana"/>
          <w:color w:val="000000" w:themeColor="text1"/>
        </w:rPr>
        <w:t xml:space="preserve"> factors weighs in favor of imposing a duty of reasonable care upon UPMC.</w:t>
      </w:r>
    </w:p>
    <w:p w14:paraId="0D10F79C"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5EF7E147" w14:textId="4D6C457E"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Regarding the first </w:t>
      </w:r>
      <w:r w:rsidRPr="0071592D">
        <w:rPr>
          <w:rFonts w:ascii="Verdana" w:hAnsi="Verdana"/>
          <w:i/>
          <w:color w:val="000000" w:themeColor="text1"/>
        </w:rPr>
        <w:t>Althaus</w:t>
      </w:r>
      <w:r w:rsidRPr="0071592D">
        <w:rPr>
          <w:rFonts w:ascii="Verdana" w:hAnsi="Verdana"/>
          <w:color w:val="000000" w:themeColor="text1"/>
        </w:rPr>
        <w:t xml:space="preserve"> factor, the Majority correctly observes that the parties had an employer-employee relationship, and that “[t]his type of relationship traditionally has given rise to duties on the employer.” Op. at 323 (citation omitted). Thus, the Majority weighed this factor in favor of imposing a duty upon UPMC. </w:t>
      </w:r>
      <w:r w:rsidRPr="0071592D">
        <w:rPr>
          <w:rFonts w:ascii="Verdana" w:hAnsi="Verdana"/>
          <w:i/>
          <w:color w:val="000000" w:themeColor="text1"/>
        </w:rPr>
        <w:t>Id.</w:t>
      </w:r>
    </w:p>
    <w:p w14:paraId="668A572D"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643F5940" w14:textId="389CF3FD" w:rsidR="004B787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Regarding the second and third </w:t>
      </w:r>
      <w:r w:rsidRPr="0071592D">
        <w:rPr>
          <w:rFonts w:ascii="Verdana" w:hAnsi="Verdana"/>
          <w:i/>
          <w:color w:val="000000" w:themeColor="text1"/>
        </w:rPr>
        <w:t>Althaus</w:t>
      </w:r>
      <w:r w:rsidRPr="0071592D">
        <w:rPr>
          <w:rFonts w:ascii="Verdana" w:hAnsi="Verdana"/>
          <w:color w:val="000000" w:themeColor="text1"/>
        </w:rPr>
        <w:t xml:space="preserve"> factors, the Majority states that there is “an obvious social utility” in the practice of storing information electronically. </w:t>
      </w:r>
      <w:r w:rsidRPr="0071592D">
        <w:rPr>
          <w:rFonts w:ascii="Verdana" w:hAnsi="Verdana"/>
          <w:i/>
          <w:color w:val="000000" w:themeColor="text1"/>
        </w:rPr>
        <w:t>Id.</w:t>
      </w:r>
      <w:r w:rsidRPr="0071592D">
        <w:rPr>
          <w:rFonts w:ascii="Verdana" w:hAnsi="Verdana"/>
          <w:color w:val="000000" w:themeColor="text1"/>
        </w:rPr>
        <w:t xml:space="preserve"> The Majority observes that there is an increased risk in storing electronic information, and that it is foreseeable that harm from breaches would be incurred. </w:t>
      </w:r>
      <w:r w:rsidRPr="0071592D">
        <w:rPr>
          <w:rFonts w:ascii="Verdana" w:hAnsi="Verdana"/>
          <w:i/>
          <w:color w:val="000000" w:themeColor="text1"/>
        </w:rPr>
        <w:t>Id.</w:t>
      </w:r>
      <w:r w:rsidRPr="0071592D">
        <w:rPr>
          <w:rFonts w:ascii="Verdana" w:hAnsi="Verdana"/>
          <w:color w:val="000000" w:themeColor="text1"/>
        </w:rPr>
        <w:t xml:space="preserve"> The Majority recognizes that while the criminal acts of a third party may constituted a superseding cause,</w:t>
      </w:r>
    </w:p>
    <w:p w14:paraId="784910E4" w14:textId="77777777" w:rsidR="00BA5D3A" w:rsidRPr="0071592D" w:rsidRDefault="00BA5D3A" w:rsidP="00FD02AC">
      <w:pPr>
        <w:spacing w:after="0" w:line="240" w:lineRule="auto"/>
        <w:jc w:val="both"/>
        <w:rPr>
          <w:rFonts w:ascii="Verdana" w:hAnsi="Verdana"/>
          <w:color w:val="000000" w:themeColor="text1"/>
        </w:rPr>
      </w:pPr>
    </w:p>
    <w:p w14:paraId="6D4FC869" w14:textId="2AB221FB" w:rsidR="004B787D" w:rsidRDefault="00000000" w:rsidP="00FD02AC">
      <w:pPr>
        <w:spacing w:after="0" w:line="240" w:lineRule="auto"/>
        <w:ind w:left="480" w:right="480"/>
        <w:jc w:val="both"/>
        <w:rPr>
          <w:rFonts w:ascii="Verdana" w:hAnsi="Verdana"/>
          <w:color w:val="000000" w:themeColor="text1"/>
        </w:rPr>
      </w:pPr>
      <w:r w:rsidRPr="0071592D">
        <w:rPr>
          <w:rFonts w:ascii="Verdana" w:hAnsi="Verdana"/>
          <w:color w:val="000000" w:themeColor="text1"/>
        </w:rPr>
        <w:t>an actor may still be liable for his negligence[,] despite the superseding criminal acts of another if, at the time of his negligent conduct, he realized or should have realized the likelihood that such a situation might be created and that a third person might avail himself of the opportunity to commit such a tort or crime.</w:t>
      </w:r>
    </w:p>
    <w:p w14:paraId="0ECE51B5" w14:textId="77777777" w:rsidR="00BA5D3A" w:rsidRPr="0071592D" w:rsidRDefault="00BA5D3A" w:rsidP="00FD02AC">
      <w:pPr>
        <w:spacing w:after="0" w:line="240" w:lineRule="auto"/>
        <w:ind w:left="480" w:right="480"/>
        <w:jc w:val="both"/>
        <w:rPr>
          <w:rFonts w:ascii="Verdana" w:hAnsi="Verdana"/>
          <w:color w:val="000000" w:themeColor="text1"/>
        </w:rPr>
      </w:pPr>
    </w:p>
    <w:p w14:paraId="28C84E05" w14:textId="466EB64D"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Op. at 323 (quoting </w:t>
      </w:r>
      <w:r w:rsidRPr="0071592D">
        <w:rPr>
          <w:rFonts w:ascii="Verdana" w:hAnsi="Verdana"/>
          <w:i/>
          <w:color w:val="000000" w:themeColor="text1"/>
        </w:rPr>
        <w:t>Mahan v. Am–Guard, Inc.</w:t>
      </w:r>
      <w:r w:rsidRPr="0071592D">
        <w:rPr>
          <w:rFonts w:ascii="Verdana" w:hAnsi="Verdana"/>
          <w:color w:val="000000" w:themeColor="text1"/>
        </w:rPr>
        <w:t xml:space="preserve">, 841 A.2d 1052, 1061 (Pa. Super. 2003)). The Majority ultimately concludes, however, that “[w]hile a data breach (and its ensuing harm) is generally foreseeable, we do not believe that this possibility outweighs the social utility of electronically storing employee information.” Op. at 323. Thus, the Majority concludes that the social utility of electronically storing information outweighs the risk of harm and the foreseeability of such harm. </w:t>
      </w:r>
      <w:r w:rsidRPr="0071592D">
        <w:rPr>
          <w:rFonts w:ascii="Verdana" w:hAnsi="Verdana"/>
          <w:i/>
          <w:color w:val="000000" w:themeColor="text1"/>
        </w:rPr>
        <w:t>See id.</w:t>
      </w:r>
      <w:r w:rsidRPr="0071592D">
        <w:rPr>
          <w:rFonts w:ascii="Verdana" w:hAnsi="Verdana"/>
          <w:color w:val="000000" w:themeColor="text1"/>
        </w:rPr>
        <w:t xml:space="preserve"> I believe that the Majority's conclusion is untenable, given the ubiquitous nature of electronic data storage, the risk to UPMC's employees posed by the failure to reasonably protect such information, and the foreseeability of a computer breach and subsequent identity theft.</w:t>
      </w:r>
    </w:p>
    <w:p w14:paraId="2765E29F"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0AB3A836"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Here, the Appellants claimed that UPMC had failed to use reasonable care in the storage of their personal information by, </w:t>
      </w:r>
      <w:r w:rsidRPr="0071592D">
        <w:rPr>
          <w:rFonts w:ascii="Verdana" w:hAnsi="Verdana"/>
          <w:i/>
          <w:color w:val="000000" w:themeColor="text1"/>
        </w:rPr>
        <w:t>inter alia</w:t>
      </w:r>
      <w:r w:rsidRPr="0071592D">
        <w:rPr>
          <w:rFonts w:ascii="Verdana" w:hAnsi="Verdana"/>
          <w:color w:val="000000" w:themeColor="text1"/>
        </w:rPr>
        <w:t xml:space="preserve">, properly encrypting the data, establishing adequate firewalls, and implementing an appropriate authentication protocol. Appellants' assertions, if proven, would establish that UPMC knew or should have realized that inadequate electronic data protections would create a likelihood that its employees' personal information would be compromised, and that a third party would avail itself of the opportunity to steal this sensitive data. </w:t>
      </w:r>
      <w:r w:rsidRPr="0071592D">
        <w:rPr>
          <w:rFonts w:ascii="Verdana" w:hAnsi="Verdana"/>
          <w:i/>
          <w:color w:val="000000" w:themeColor="text1"/>
        </w:rPr>
        <w:t>See id.</w:t>
      </w:r>
      <w:r w:rsidRPr="0071592D">
        <w:rPr>
          <w:rFonts w:ascii="Verdana" w:hAnsi="Verdana"/>
          <w:color w:val="000000" w:themeColor="text1"/>
        </w:rPr>
        <w:t xml:space="preserve"> Under the circumstances alleged, the criminal acts of third parties do not relieve UPMC of its duty of care in the protection of </w:t>
      </w:r>
      <w:r w:rsidRPr="0071592D">
        <w:rPr>
          <w:rFonts w:ascii="Verdana" w:hAnsi="Verdana"/>
          <w:color w:val="000000" w:themeColor="text1"/>
        </w:rPr>
        <w:lastRenderedPageBreak/>
        <w:t>Appellants sensitive personal data. Thus, I would weigh this factor in favor of imposing a duty of reasonable care upon UPMC.</w:t>
      </w:r>
    </w:p>
    <w:p w14:paraId="2948C6CE"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67FFA699"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I also disagree with the conclusion of the Majority that “[n]o judicially created duty of care is needed to incentivize companies to protect their confidential information.” Op. at 324. The Majority would refrain from imposing a duty based upon a belief that such protection would impose significant costs upon employers to increase security measures, “when there is no true way to prevent data breaches altogether.” </w:t>
      </w:r>
      <w:r w:rsidRPr="0071592D">
        <w:rPr>
          <w:rFonts w:ascii="Verdana" w:hAnsi="Verdana"/>
          <w:i/>
          <w:color w:val="000000" w:themeColor="text1"/>
        </w:rPr>
        <w:t>Id.</w:t>
      </w:r>
      <w:r w:rsidRPr="0071592D">
        <w:rPr>
          <w:rFonts w:ascii="Verdana" w:hAnsi="Verdana"/>
          <w:color w:val="000000" w:themeColor="text1"/>
        </w:rPr>
        <w:t xml:space="preserve"> The Majority opines that “[t]here are still statutes and safeguards in place to prevent </w:t>
      </w:r>
      <w:r w:rsidRPr="0071592D">
        <w:rPr>
          <w:rFonts w:ascii="Verdana" w:hAnsi="Verdana"/>
          <w:i/>
          <w:color w:val="000000" w:themeColor="text1"/>
        </w:rPr>
        <w:t>employers</w:t>
      </w:r>
      <w:r w:rsidRPr="0071592D">
        <w:rPr>
          <w:rFonts w:ascii="Verdana" w:hAnsi="Verdana"/>
          <w:color w:val="000000" w:themeColor="text1"/>
        </w:rPr>
        <w:t xml:space="preserve"> from disclosing confidential information.” </w:t>
      </w:r>
      <w:r w:rsidRPr="0071592D">
        <w:rPr>
          <w:rFonts w:ascii="Verdana" w:hAnsi="Verdana"/>
          <w:i/>
          <w:color w:val="000000" w:themeColor="text1"/>
        </w:rPr>
        <w:t>Id.</w:t>
      </w:r>
      <w:r w:rsidRPr="0071592D">
        <w:rPr>
          <w:rFonts w:ascii="Verdana" w:hAnsi="Verdana"/>
          <w:color w:val="000000" w:themeColor="text1"/>
        </w:rPr>
        <w:t xml:space="preserve"> (emphasis added).</w:t>
      </w:r>
    </w:p>
    <w:p w14:paraId="55A72CA6"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0968B9D2" w14:textId="73AD9470"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The Majority places great weight upon the cost to UPMC of imposing a duty, and the inability to prevent every data breach. However, </w:t>
      </w:r>
      <w:r w:rsidRPr="0071592D">
        <w:rPr>
          <w:rFonts w:ascii="Verdana" w:hAnsi="Verdana"/>
          <w:i/>
          <w:color w:val="000000" w:themeColor="text1"/>
        </w:rPr>
        <w:t>Althaus</w:t>
      </w:r>
      <w:r w:rsidRPr="0071592D">
        <w:rPr>
          <w:rFonts w:ascii="Verdana" w:hAnsi="Verdana"/>
          <w:color w:val="000000" w:themeColor="text1"/>
        </w:rPr>
        <w:t xml:space="preserve"> does not require that the proposed duty prevent </w:t>
      </w:r>
      <w:r w:rsidRPr="0071592D">
        <w:rPr>
          <w:rFonts w:ascii="Verdana" w:hAnsi="Verdana"/>
          <w:i/>
          <w:color w:val="000000" w:themeColor="text1"/>
        </w:rPr>
        <w:t>all</w:t>
      </w:r>
      <w:r w:rsidRPr="0071592D">
        <w:rPr>
          <w:rFonts w:ascii="Verdana" w:hAnsi="Verdana"/>
          <w:color w:val="000000" w:themeColor="text1"/>
        </w:rPr>
        <w:t xml:space="preserve"> harm; rather, the consequences of imposing a duty of reasonable care are to be weighed. I would conclude that this factor weighs in favor of imposing a duty, when considered against the cost to employees (sometimes for years) resulting from a data breach.</w:t>
      </w:r>
    </w:p>
    <w:p w14:paraId="11AD54C8"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419A2591"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xml:space="preserve">Finally, I disagree with the Majority's conclusion that the public interest in imposing a duty weighs in favor of UPMC. While judicial resources may be expended during litigation of data breaches, the public has a greater interest in protecting the </w:t>
      </w:r>
      <w:bookmarkStart w:id="18" w:name="co_pp_sp_7691_329_1"/>
      <w:r w:rsidRPr="0071592D">
        <w:rPr>
          <w:rFonts w:ascii="Verdana" w:hAnsi="Verdana"/>
          <w:color w:val="000000" w:themeColor="text1"/>
        </w:rPr>
        <w:t>*329</w:t>
      </w:r>
      <w:bookmarkEnd w:id="18"/>
      <w:r w:rsidRPr="0071592D">
        <w:rPr>
          <w:rFonts w:ascii="Verdana" w:hAnsi="Verdana"/>
          <w:color w:val="000000" w:themeColor="text1"/>
        </w:rPr>
        <w:t xml:space="preserve"> personal and sensitive data collected and electronically stored by employers.</w:t>
      </w:r>
    </w:p>
    <w:p w14:paraId="51A00C42"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p w14:paraId="04031EFD"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Based upon the foregoing, I would reverse the Order of the trial court, and conclude that UPMC owes a duty of reasonable care to safeguard the personal information of its employees.</w:t>
      </w:r>
    </w:p>
    <w:p w14:paraId="06C88FAE" w14:textId="77777777" w:rsidR="004B787D" w:rsidRPr="0071592D" w:rsidRDefault="00000000" w:rsidP="00FD02AC">
      <w:pPr>
        <w:spacing w:after="0" w:line="240" w:lineRule="auto"/>
        <w:jc w:val="both"/>
        <w:rPr>
          <w:rFonts w:ascii="Verdana" w:hAnsi="Verdana"/>
          <w:color w:val="000000" w:themeColor="text1"/>
        </w:rPr>
      </w:pPr>
      <w:r w:rsidRPr="0071592D">
        <w:rPr>
          <w:rFonts w:ascii="Verdana" w:hAnsi="Verdana"/>
          <w:color w:val="000000" w:themeColor="text1"/>
        </w:rPr>
        <w:t> </w:t>
      </w:r>
    </w:p>
    <w:bookmarkEnd w:id="2"/>
    <w:p w14:paraId="2A3985CA" w14:textId="77777777" w:rsidR="004B787D" w:rsidRPr="0071592D" w:rsidRDefault="004B787D" w:rsidP="00FD02AC">
      <w:pPr>
        <w:spacing w:after="0" w:line="240" w:lineRule="auto"/>
        <w:rPr>
          <w:rFonts w:ascii="Verdana" w:hAnsi="Verdana"/>
          <w:color w:val="000000" w:themeColor="text1"/>
        </w:rPr>
      </w:pPr>
    </w:p>
    <w:sectPr w:rsidR="004B787D" w:rsidRPr="0071592D">
      <w:headerReference w:type="even" r:id="rId6"/>
      <w:headerReference w:type="default" r:id="rId7"/>
      <w:footerReference w:type="even" r:id="rId8"/>
      <w:footerReference w:type="default" r:id="rId9"/>
      <w:pgSz w:w="12240" w:h="15840"/>
      <w:pgMar w:top="180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54335" w14:textId="77777777" w:rsidR="00D42698" w:rsidRDefault="00D42698">
      <w:pPr>
        <w:spacing w:after="0" w:line="240" w:lineRule="auto"/>
      </w:pPr>
      <w:r>
        <w:separator/>
      </w:r>
    </w:p>
  </w:endnote>
  <w:endnote w:type="continuationSeparator" w:id="0">
    <w:p w14:paraId="06762096" w14:textId="77777777" w:rsidR="00D42698" w:rsidRDefault="00D4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F2E3" w14:textId="77777777" w:rsidR="000849FC" w:rsidRDefault="0000000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D8C9" w14:textId="77777777" w:rsidR="000849FC" w:rsidRDefault="0000000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959B" w14:textId="77777777" w:rsidR="00D42698" w:rsidRDefault="00D42698">
      <w:pPr>
        <w:spacing w:after="0" w:line="240" w:lineRule="auto"/>
      </w:pPr>
      <w:r>
        <w:separator/>
      </w:r>
    </w:p>
  </w:footnote>
  <w:footnote w:type="continuationSeparator" w:id="0">
    <w:p w14:paraId="6D413BAE" w14:textId="77777777" w:rsidR="00D42698" w:rsidRDefault="00D42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CE27" w14:textId="77777777" w:rsidR="004B787D"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8F4D" w14:textId="77777777" w:rsidR="004B787D"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87D"/>
    <w:rsid w:val="000849FC"/>
    <w:rsid w:val="00256C3F"/>
    <w:rsid w:val="003536BE"/>
    <w:rsid w:val="003C2AA9"/>
    <w:rsid w:val="00442F31"/>
    <w:rsid w:val="004923B1"/>
    <w:rsid w:val="004B787D"/>
    <w:rsid w:val="00527186"/>
    <w:rsid w:val="00650801"/>
    <w:rsid w:val="00685AA7"/>
    <w:rsid w:val="0071592D"/>
    <w:rsid w:val="00764178"/>
    <w:rsid w:val="008B4510"/>
    <w:rsid w:val="00A86DAA"/>
    <w:rsid w:val="00BA5D3A"/>
    <w:rsid w:val="00CB70CA"/>
    <w:rsid w:val="00D13841"/>
    <w:rsid w:val="00D42698"/>
    <w:rsid w:val="00DF2637"/>
    <w:rsid w:val="00F81A72"/>
    <w:rsid w:val="00FD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A40C"/>
  <w15:docId w15:val="{4DE8C1A2-5ACE-48C6-82CA-953BD1FE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3B1"/>
  </w:style>
  <w:style w:type="paragraph" w:styleId="Footer">
    <w:name w:val="footer"/>
    <w:basedOn w:val="Normal"/>
    <w:link w:val="FooterChar"/>
    <w:uiPriority w:val="99"/>
    <w:unhideWhenUsed/>
    <w:rsid w:val="00492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warner richardwarner</dc:creator>
  <cp:lastModifiedBy>richard warner</cp:lastModifiedBy>
  <cp:revision>9</cp:revision>
  <dcterms:created xsi:type="dcterms:W3CDTF">2022-12-07T00:10:00Z</dcterms:created>
  <dcterms:modified xsi:type="dcterms:W3CDTF">2022-12-26T18:39:00Z</dcterms:modified>
</cp:coreProperties>
</file>